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Nota metodológica</w:t>
      </w:r>
    </w:p>
    <w:p>
      <w:pPr>
        <w:spacing w:after="120"/>
      </w:pPr>
      <w:r>
        <w:rPr>
          <w:b/>
          <w:bCs/>
          <w:color w:val="5B4BDB"/>
          <w:sz w:val="26"/>
          <w:szCs w:val="26"/>
        </w:rPr>
        <w:t xml:space="preserve">Sílabo interactivo de Toma de decisiones y comunicación estratégica en salud</w:t>
      </w:r>
    </w:p>
    <w:p>
      <w:pPr>
        <w:spacing w:after="120"/>
      </w:pPr>
      <w:r>
        <w:rPr>
          <w:b/>
          <w:bCs/>
        </w:rPr>
        <w:t xml:space="preserve">Autores: </w:t>
      </w:r>
      <w:r>
        <w:t xml:space="preserve">Daniel Rodríguez Villalba (Universidad UTE, Maestría de Gerencia en Salud, VC-2026-044) y Juan Pablo Arrobo (UTPL, Comunicación, VC-2026-021).</w:t>
      </w:r>
    </w:p>
    <w:p>
      <w:pPr>
        <w:spacing w:after="120"/>
      </w:pPr>
      <w:r>
        <w:rPr>
          <w:b/>
          <w:bCs/>
        </w:rPr>
        <w:t xml:space="preserve">Curso: </w:t>
      </w:r>
      <w:r>
        <w:t xml:space="preserve">Vibe Coding CEDIA 2026 · módulo 5 · lección R5.3. Basado en la guía de proyecto 21, «Sitio del curso o sílabo interactivo».</w:t>
      </w:r>
    </w:p>
    <w:p>
      <w:pPr>
        <w:spacing w:after="120"/>
      </w:pPr>
      <w:r>
        <w:rPr>
          <w:b/>
          <w:bCs/>
        </w:rPr>
        <w:t xml:space="preserve">Sitio: </w:t>
      </w:r>
      <w:r>
        <w:t xml:space="preserve">https://darv1970.github.io/Silabo-V5/ · Fecha de esta nota: 12 de octubre de 2026.</w:t>
      </w:r>
    </w:p>
    <w:p>
      <w:pPr>
        <w:spacing w:after="120"/>
      </w:pPr>
      <w:r>
        <w:rPr>
          <w:i/>
          <w:iCs/>
          <w:color w:val="6B7280"/>
          <w:sz w:val="20"/>
          <w:szCs w:val="20"/>
        </w:rPr>
        <w:t xml:space="preserve">Ambos autores leyeron esta nota y confirmaron cada afirmación el 12 de octubre de 2026.</w:t>
      </w:r>
    </w:p>
    <w:p>
      <w:pPr>
        <w:pStyle w:val="Heading1"/>
      </w:pPr>
      <w:r>
        <w:t xml:space="preserve">1. Propósito y límite</w:t>
      </w:r>
    </w:p>
    <w:p>
      <w:pPr>
        <w:spacing w:after="120"/>
      </w:pPr>
      <w:r>
        <w:t xml:space="preserve">El sitio presenta el sílabo aprobado de la asignatura Toma de decisiones y comunicación estratégica en salud (código FDAV-02188, Maestría en Gerencia de Salud, nivel 1, sede Quito) como una página web que el estudiante consulta desde cualquier dispositivo. Reúne en un solo enlace el cronograma de las cuatro sesiones sincrónicas de septiembre de 2026, el esquema de evaluación, los artículos de consulta con resumen y audio, el material de clases, la bibliografía, el contacto de los docentes y una lista personal de tareas por semana. Está disponible en español y en inglés.</w:t>
      </w:r>
    </w:p>
    <w:p>
      <w:pPr>
        <w:spacing w:after="120"/>
      </w:pPr>
      <w:r>
        <w:t xml:space="preserve">El problema que atiende es concreto: en el sílabo en PDF los artículos de consulta estaban nombrados, pero los estudiantes no sabían cómo se relacionaban con el desarrollo de la materia. El sitio etiqueta cada artículo con la semana en que se usa y lo presenta como tarea de esa semana.</w:t>
      </w:r>
    </w:p>
    <w:p>
      <w:pPr>
        <w:spacing w:after="120"/>
      </w:pPr>
      <w:r>
        <w:rPr>
          <w:b/>
          <w:bCs/>
        </w:rPr>
        <w:t xml:space="preserve">Límite. </w:t>
      </w:r>
      <w:r>
        <w:t xml:space="preserve">El sitio no reemplaza el sílabo aprobado, que sigue siendo el documento oficial; no reemplaza las clases sincrónicas; y no reemplaza a Moodle (Aula Virtual), que sigue siendo el vínculo oficial entre estudiante y universidad para entregar tareas y rendir evaluaciones. Marcar una tarea en el sitio no la entrega ni crea un registro académico.</w:t>
      </w:r>
    </w:p>
    <w:p>
      <w:pPr>
        <w:pStyle w:val="Heading1"/>
      </w:pPr>
      <w:r>
        <w:t xml:space="preserve">2. Recorrido revisable</w:t>
      </w:r>
    </w:p>
    <w:p>
      <w:pPr>
        <w:pStyle w:val="ListParagraph"/>
        <w:numPr>
          <w:ilvl w:val="0"/>
          <w:numId w:val="2"/>
        </w:numPr>
        <w:spacing w:after="80"/>
      </w:pPr>
      <w:r>
        <w:rPr>
          <w:b/>
          <w:bCs/>
        </w:rPr>
        <w:t xml:space="preserve">Entrada: </w:t>
      </w:r>
      <w:r>
        <w:t xml:space="preserve">el sílabo aprobado de la asignatura y la lista de recursos (artículos, material de clases y bibliografía).</w:t>
      </w:r>
    </w:p>
    <w:p>
      <w:pPr>
        <w:pStyle w:val="ListParagraph"/>
        <w:numPr>
          <w:ilvl w:val="0"/>
          <w:numId w:val="2"/>
        </w:numPr>
        <w:spacing w:after="80"/>
      </w:pPr>
      <w:r>
        <w:rPr>
          <w:b/>
          <w:bCs/>
        </w:rPr>
        <w:t xml:space="preserve">Regla que se aplica: </w:t>
      </w:r>
      <w:r>
        <w:t xml:space="preserve">cada sección del sitio reproduce una parte del sílabo aprobado, sin añadir fechas, ponderaciones ni requisitos que no consten en él. Las fechas del sitio se declaran tentativas y remiten al Aula Virtual.</w:t>
      </w:r>
    </w:p>
    <w:p>
      <w:pPr>
        <w:pStyle w:val="ListParagraph"/>
        <w:numPr>
          <w:ilvl w:val="0"/>
          <w:numId w:val="2"/>
        </w:numPr>
        <w:spacing w:after="80"/>
      </w:pPr>
      <w:r>
        <w:rPr>
          <w:b/>
          <w:bCs/>
        </w:rPr>
        <w:t xml:space="preserve">Resultado: </w:t>
      </w:r>
      <w:r>
        <w:t xml:space="preserve">un sitio estático en HTML, CSS y JavaScript publicado en GitHub Pages. La lista de tareas guarda las marcas solo en el navegador de cada estudiante y no envía datos a nadie.</w:t>
      </w:r>
    </w:p>
    <w:p>
      <w:pPr>
        <w:pStyle w:val="ListParagraph"/>
        <w:numPr>
          <w:ilvl w:val="0"/>
          <w:numId w:val="2"/>
        </w:numPr>
        <w:spacing w:after="80"/>
      </w:pPr>
      <w:r>
        <w:rPr>
          <w:b/>
          <w:bCs/>
        </w:rPr>
        <w:t xml:space="preserve">Evidencia que lo respalda: </w:t>
      </w:r>
      <w:r>
        <w:t xml:space="preserve">los autores verificaron que el contenido y las fechas de las cuatro sesiones coinciden con el sílabo aprobado; en la última revisión se detectó que la portada indicaba el periodo «abril a agosto de 2026» y se corrigió a «septiembre 2026». El despliegue de recursos y funciones se verificó en cuatro teléfonos distintos. Tres de tres colegas consultados encontraron sencilla la navegación. El sitio pasó por cinco versiones revisadas por los docentes.</w:t>
      </w:r>
    </w:p>
    <w:p>
      <w:pPr>
        <w:pStyle w:val="Heading1"/>
      </w:pPr>
      <w:r>
        <w:t xml:space="preserve">3. Aportes de la IA y de las personas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1900"/>
        <w:gridCol w:w="1826"/>
        <w:gridCol w:w="1800"/>
      </w:tblGrid>
      <w:tr>
        <w:trPr>
          <w:tblHeader/>
        </w:trPr>
        <w:tc>
          <w:tcPr>
            <w:tcW w:type="dxa" w:w="1500"/>
            <w:tcBorders>
              <w:top w:val="single" w:color="C9CCD6" w:sz="4"/>
              <w:left w:val="single" w:color="C9CCD6" w:sz="4"/>
              <w:bottom w:val="single" w:color="C9CCD6" w:sz="4"/>
              <w:right w:val="single" w:color="C9CCD6" w:sz="4"/>
            </w:tcBorders>
            <w:shd w:fill="EEECFB" w:color="auto" w:val="clear"/>
            <w:tcMar>
              <w:top w:type="dxa" w:w="60"/>
              <w:left w:type="dxa" w:w="90"/>
              <w:bottom w:type="dxa" w:w="60"/>
              <w:right w:type="dxa" w:w="90"/>
            </w:tcMar>
          </w:tcPr>
          <w:p>
            <w:r>
              <w:rPr>
                <w:b/>
                <w:bCs/>
                <w:sz w:val="19"/>
                <w:szCs w:val="19"/>
              </w:rPr>
              <w:t xml:space="preserve">Herramienta</w:t>
            </w:r>
          </w:p>
        </w:tc>
        <w:tc>
          <w:tcPr>
            <w:tcW w:type="dxa" w:w="2000"/>
            <w:tcBorders>
              <w:top w:val="single" w:color="C9CCD6" w:sz="4"/>
              <w:left w:val="single" w:color="C9CCD6" w:sz="4"/>
              <w:bottom w:val="single" w:color="C9CCD6" w:sz="4"/>
              <w:right w:val="single" w:color="C9CCD6" w:sz="4"/>
            </w:tcBorders>
            <w:shd w:fill="EEECFB" w:color="auto" w:val="clear"/>
            <w:tcMar>
              <w:top w:type="dxa" w:w="60"/>
              <w:left w:type="dxa" w:w="90"/>
              <w:bottom w:type="dxa" w:w="60"/>
              <w:right w:type="dxa" w:w="90"/>
            </w:tcMar>
          </w:tcPr>
          <w:p>
            <w:r>
              <w:rPr>
                <w:b/>
                <w:bCs/>
                <w:sz w:val="19"/>
                <w:szCs w:val="19"/>
              </w:rPr>
              <w:t xml:space="preserve">Tarea</w:t>
            </w:r>
          </w:p>
        </w:tc>
        <w:tc>
          <w:tcPr>
            <w:tcW w:type="dxa" w:w="1900"/>
            <w:tcBorders>
              <w:top w:val="single" w:color="C9CCD6" w:sz="4"/>
              <w:left w:val="single" w:color="C9CCD6" w:sz="4"/>
              <w:bottom w:val="single" w:color="C9CCD6" w:sz="4"/>
              <w:right w:val="single" w:color="C9CCD6" w:sz="4"/>
            </w:tcBorders>
            <w:shd w:fill="EEECFB" w:color="auto" w:val="clear"/>
            <w:tcMar>
              <w:top w:type="dxa" w:w="60"/>
              <w:left w:type="dxa" w:w="90"/>
              <w:bottom w:type="dxa" w:w="60"/>
              <w:right w:type="dxa" w:w="90"/>
            </w:tcMar>
          </w:tcPr>
          <w:p>
            <w:r>
              <w:rPr>
                <w:b/>
                <w:bCs/>
                <w:sz w:val="19"/>
                <w:szCs w:val="19"/>
              </w:rPr>
              <w:t xml:space="preserve">Entrada</w:t>
            </w:r>
          </w:p>
        </w:tc>
        <w:tc>
          <w:tcPr>
            <w:tcW w:type="dxa" w:w="1826"/>
            <w:tcBorders>
              <w:top w:val="single" w:color="C9CCD6" w:sz="4"/>
              <w:left w:val="single" w:color="C9CCD6" w:sz="4"/>
              <w:bottom w:val="single" w:color="C9CCD6" w:sz="4"/>
              <w:right w:val="single" w:color="C9CCD6" w:sz="4"/>
            </w:tcBorders>
            <w:shd w:fill="EEECFB" w:color="auto" w:val="clear"/>
            <w:tcMar>
              <w:top w:type="dxa" w:w="60"/>
              <w:left w:type="dxa" w:w="90"/>
              <w:bottom w:type="dxa" w:w="60"/>
              <w:right w:type="dxa" w:w="90"/>
            </w:tcMar>
          </w:tcPr>
          <w:p>
            <w:r>
              <w:rPr>
                <w:b/>
                <w:bCs/>
                <w:sz w:val="19"/>
                <w:szCs w:val="19"/>
              </w:rPr>
              <w:t xml:space="preserve">Producto</w:t>
            </w:r>
          </w:p>
        </w:tc>
        <w:tc>
          <w:tcPr>
            <w:tcW w:type="dxa" w:w="1800"/>
            <w:tcBorders>
              <w:top w:val="single" w:color="C9CCD6" w:sz="4"/>
              <w:left w:val="single" w:color="C9CCD6" w:sz="4"/>
              <w:bottom w:val="single" w:color="C9CCD6" w:sz="4"/>
              <w:right w:val="single" w:color="C9CCD6" w:sz="4"/>
            </w:tcBorders>
            <w:shd w:fill="EEECFB" w:color="auto" w:val="clear"/>
            <w:tcMar>
              <w:top w:type="dxa" w:w="60"/>
              <w:left w:type="dxa" w:w="90"/>
              <w:bottom w:type="dxa" w:w="60"/>
              <w:right w:type="dxa" w:w="90"/>
            </w:tcMar>
          </w:tcPr>
          <w:p>
            <w:r>
              <w:rPr>
                <w:b/>
                <w:bCs/>
                <w:sz w:val="19"/>
                <w:szCs w:val="19"/>
              </w:rPr>
              <w:t xml:space="preserve">Quién revisó</w:t>
            </w:r>
          </w:p>
        </w:tc>
      </w:tr>
      <w:tr>
        <w:trPr>
          <w:cantSplit/>
        </w:trPr>
        <w:tc>
          <w:tcPr>
            <w:tcW w:type="dxa" w:w="15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Claude</w:t>
            </w:r>
          </w:p>
        </w:tc>
        <w:tc>
          <w:tcPr>
            <w:tcW w:type="dxa" w:w="20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Generar el sitio y sus cinco versiones</w:t>
            </w:r>
          </w:p>
        </w:tc>
        <w:tc>
          <w:tcPr>
            <w:tcW w:type="dxa" w:w="19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Sílabo aprobado, recursos y correcciones docentes</w:t>
            </w:r>
          </w:p>
        </w:tc>
        <w:tc>
          <w:tcPr>
            <w:tcW w:type="dxa" w:w="1826"/>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HTML, CSS y JavaScript del sitio</w:t>
            </w:r>
          </w:p>
        </w:tc>
        <w:tc>
          <w:tcPr>
            <w:tcW w:type="dxa" w:w="18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Ambos autores, contra el sílabo, en cada versión</w:t>
            </w:r>
          </w:p>
        </w:tc>
      </w:tr>
      <w:tr>
        <w:trPr>
          <w:cantSplit/>
        </w:trPr>
        <w:tc>
          <w:tcPr>
            <w:tcW w:type="dxa" w:w="15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NotebookLM</w:t>
            </w:r>
          </w:p>
        </w:tc>
        <w:tc>
          <w:tcPr>
            <w:tcW w:type="dxa" w:w="20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Resúmenes escritos y audios de resumen de los artículos en español e inglés, y video de resumen de la materia</w:t>
            </w:r>
          </w:p>
        </w:tc>
        <w:tc>
          <w:tcPr>
            <w:tcW w:type="dxa" w:w="19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Los dos artículos de consulta y el sílabo aprobado</w:t>
            </w:r>
          </w:p>
        </w:tc>
        <w:tc>
          <w:tcPr>
            <w:tcW w:type="dxa" w:w="1826"/>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Resúmenes, audios y video publicados en el sitio</w:t>
            </w:r>
          </w:p>
        </w:tc>
        <w:tc>
          <w:tcPr>
            <w:tcW w:type="dxa" w:w="18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Ambos autores, antes de publicar</w:t>
            </w:r>
          </w:p>
        </w:tc>
      </w:tr>
      <w:tr>
        <w:trPr>
          <w:cantSplit/>
        </w:trPr>
        <w:tc>
          <w:tcPr>
            <w:tcW w:type="dxa" w:w="15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Claude</w:t>
            </w:r>
          </w:p>
        </w:tc>
        <w:tc>
          <w:tcPr>
            <w:tcW w:type="dxa" w:w="20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Revisión de coherencia del sitio publicado</w:t>
            </w:r>
          </w:p>
        </w:tc>
        <w:tc>
          <w:tcPr>
            <w:tcW w:type="dxa" w:w="19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Sitio y capturas</w:t>
            </w:r>
          </w:p>
        </w:tc>
        <w:tc>
          <w:tcPr>
            <w:tcW w:type="dxa" w:w="1826"/>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Señaló la diferencia de periodo en la portada</w:t>
            </w:r>
          </w:p>
        </w:tc>
        <w:tc>
          <w:tcPr>
            <w:tcW w:type="dxa" w:w="18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Los autores verificaron y corrigieron</w:t>
            </w:r>
          </w:p>
        </w:tc>
      </w:tr>
      <w:tr>
        <w:trPr>
          <w:cantSplit/>
        </w:trPr>
        <w:tc>
          <w:tcPr>
            <w:tcW w:type="dxa" w:w="15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Claude</w:t>
            </w:r>
          </w:p>
        </w:tc>
        <w:tc>
          <w:tcPr>
            <w:tcW w:type="dxa" w:w="20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Guion en español e inglés y presentaciones</w:t>
            </w:r>
          </w:p>
        </w:tc>
        <w:tc>
          <w:tcPr>
            <w:tcW w:type="dxa" w:w="19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Información aportada por los autores y capturas del sitio</w:t>
            </w:r>
          </w:p>
        </w:tc>
        <w:tc>
          <w:tcPr>
            <w:tcW w:type="dxa" w:w="1826"/>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Dos guiones y dos presentaciones de diez diapositivas</w:t>
            </w:r>
          </w:p>
        </w:tc>
        <w:tc>
          <w:tcPr>
            <w:tcW w:type="dxa" w:w="18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Ambos autores aprobaron el guion y las presentaciones</w:t>
            </w:r>
          </w:p>
        </w:tc>
      </w:tr>
      <w:tr>
        <w:trPr>
          <w:cantSplit/>
        </w:trPr>
        <w:tc>
          <w:tcPr>
            <w:tcW w:type="dxa" w:w="15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ElevenLabs</w:t>
            </w:r>
          </w:p>
        </w:tc>
        <w:tc>
          <w:tcPr>
            <w:tcW w:type="dxa" w:w="20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Narración con voz de IA</w:t>
            </w:r>
          </w:p>
        </w:tc>
        <w:tc>
          <w:tcPr>
            <w:tcW w:type="dxa" w:w="19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Guiones aprobados</w:t>
            </w:r>
          </w:p>
        </w:tc>
        <w:tc>
          <w:tcPr>
            <w:tcW w:type="dxa" w:w="1826"/>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Veinte audios, diez por idioma, con la misma voz</w:t>
            </w:r>
          </w:p>
        </w:tc>
        <w:tc>
          <w:tcPr>
            <w:tcW w:type="dxa" w:w="18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Los autores escucharon los veinte audios completos</w:t>
            </w:r>
          </w:p>
        </w:tc>
      </w:tr>
      <w:tr>
        <w:trPr>
          <w:cantSplit/>
        </w:trPr>
        <w:tc>
          <w:tcPr>
            <w:tcW w:type="dxa" w:w="15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Claude Code</w:t>
            </w:r>
          </w:p>
        </w:tc>
        <w:tc>
          <w:tcPr>
            <w:tcW w:type="dxa" w:w="20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Producción de los dos videos</w:t>
            </w:r>
          </w:p>
        </w:tc>
        <w:tc>
          <w:tcPr>
            <w:tcW w:type="dxa" w:w="19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Presentaciones y audios</w:t>
            </w:r>
          </w:p>
        </w:tc>
        <w:tc>
          <w:tcPr>
            <w:tcW w:type="dxa" w:w="1826"/>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Dos videos MP4</w:t>
            </w:r>
          </w:p>
        </w:tc>
        <w:tc>
          <w:tcPr>
            <w:tcW w:type="dxa" w:w="18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sz w:val="19"/>
                <w:szCs w:val="19"/>
              </w:rPr>
              <w:t xml:space="preserve">Ambos autores vieron y aprobaron los dos videos completos</w:t>
            </w:r>
          </w:p>
        </w:tc>
      </w:tr>
      <w:tr>
        <w:trPr>
          <w:cantSplit/>
        </w:trPr>
        <w:tc>
          <w:tcPr>
            <w:tcW w:type="dxa" w:w="15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Claude</w:t>
            </w:r>
          </w:p>
        </w:tc>
        <w:tc>
          <w:tcPr>
            <w:tcW w:type="dxa" w:w="20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Borrador de esta nota</w:t>
            </w:r>
          </w:p>
        </w:tc>
        <w:tc>
          <w:tcPr>
            <w:tcW w:type="dxa" w:w="19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Información aportada por los autores</w:t>
            </w:r>
          </w:p>
        </w:tc>
        <w:tc>
          <w:tcPr>
            <w:tcW w:type="dxa" w:w="1826"/>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Esta nota metodológica</w:t>
            </w:r>
          </w:p>
        </w:tc>
        <w:tc>
          <w:tcPr>
            <w:tcW w:type="dxa" w:w="18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sz w:val="19"/>
                <w:szCs w:val="19"/>
              </w:rPr>
              <w:t xml:space="preserve">Ambos autores leyeron la nota y confirmaron cada afirmación</w:t>
            </w:r>
          </w:p>
        </w:tc>
      </w:tr>
    </w:tbl>
    <w:p>
      <w:pPr>
        <w:spacing w:after="120"/>
      </w:pPr>
      <w:r>
        <w:t xml:space="preserve"/>
      </w:r>
    </w:p>
    <w:p>
      <w:pPr>
        <w:spacing w:after="120"/>
      </w:pPr>
      <w:r>
        <w:t xml:space="preserve">En todos los casos la IA propuso y las personas decidieron. Ningún contenido se publicó sin revisión de los autores, y la publicación del sitio la hicieron ellos.</w:t>
      </w:r>
    </w:p>
    <w:p>
      <w:pPr>
        <w:pStyle w:val="Heading1"/>
      </w:pPr>
      <w:r>
        <w:t xml:space="preserve">4. Versiones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3626"/>
        <w:gridCol w:w="2000"/>
      </w:tblGrid>
      <w:tr>
        <w:trPr>
          <w:tblHeader/>
        </w:trPr>
        <w:tc>
          <w:tcPr>
            <w:tcW w:type="dxa" w:w="3400"/>
            <w:tcBorders>
              <w:top w:val="single" w:color="C9CCD6" w:sz="4"/>
              <w:left w:val="single" w:color="C9CCD6" w:sz="4"/>
              <w:bottom w:val="single" w:color="C9CCD6" w:sz="4"/>
              <w:right w:val="single" w:color="C9CCD6" w:sz="4"/>
            </w:tcBorders>
            <w:shd w:fill="EEECFB" w:color="auto" w:val="clear"/>
            <w:tcMar>
              <w:top w:type="dxa" w:w="60"/>
              <w:left w:type="dxa" w:w="90"/>
              <w:bottom w:type="dxa" w:w="60"/>
              <w:right w:type="dxa" w:w="90"/>
            </w:tcMar>
          </w:tcPr>
          <w:p>
            <w:r>
              <w:rPr>
                <w:b/>
                <w:bCs/>
                <w:sz w:val="19"/>
                <w:szCs w:val="19"/>
              </w:rPr>
              <w:t xml:space="preserve">Elemento</w:t>
            </w:r>
          </w:p>
        </w:tc>
        <w:tc>
          <w:tcPr>
            <w:tcW w:type="dxa" w:w="3626"/>
            <w:tcBorders>
              <w:top w:val="single" w:color="C9CCD6" w:sz="4"/>
              <w:left w:val="single" w:color="C9CCD6" w:sz="4"/>
              <w:bottom w:val="single" w:color="C9CCD6" w:sz="4"/>
              <w:right w:val="single" w:color="C9CCD6" w:sz="4"/>
            </w:tcBorders>
            <w:shd w:fill="EEECFB" w:color="auto" w:val="clear"/>
            <w:tcMar>
              <w:top w:type="dxa" w:w="60"/>
              <w:left w:type="dxa" w:w="90"/>
              <w:bottom w:type="dxa" w:w="60"/>
              <w:right w:type="dxa" w:w="90"/>
            </w:tcMar>
          </w:tcPr>
          <w:p>
            <w:r>
              <w:rPr>
                <w:b/>
                <w:bCs/>
                <w:sz w:val="19"/>
                <w:szCs w:val="19"/>
              </w:rPr>
              <w:t xml:space="preserve">Versión o archivo</w:t>
            </w:r>
          </w:p>
        </w:tc>
        <w:tc>
          <w:tcPr>
            <w:tcW w:type="dxa" w:w="2000"/>
            <w:tcBorders>
              <w:top w:val="single" w:color="C9CCD6" w:sz="4"/>
              <w:left w:val="single" w:color="C9CCD6" w:sz="4"/>
              <w:bottom w:val="single" w:color="C9CCD6" w:sz="4"/>
              <w:right w:val="single" w:color="C9CCD6" w:sz="4"/>
            </w:tcBorders>
            <w:shd w:fill="EEECFB" w:color="auto" w:val="clear"/>
            <w:tcMar>
              <w:top w:type="dxa" w:w="60"/>
              <w:left w:type="dxa" w:w="90"/>
              <w:bottom w:type="dxa" w:w="60"/>
              <w:right w:type="dxa" w:w="90"/>
            </w:tcMar>
          </w:tcPr>
          <w:p>
            <w:r>
              <w:rPr>
                <w:b/>
                <w:bCs/>
                <w:sz w:val="19"/>
                <w:szCs w:val="19"/>
              </w:rPr>
              <w:t xml:space="preserve">Fecha</w:t>
            </w:r>
          </w:p>
        </w:tc>
      </w:tr>
      <w:tr>
        <w:trPr>
          <w:cantSplit/>
        </w:trPr>
        <w:tc>
          <w:tcPr>
            <w:tcW w:type="dxa" w:w="34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Sitio publicado</w:t>
            </w:r>
          </w:p>
        </w:tc>
        <w:tc>
          <w:tcPr>
            <w:tcW w:type="dxa" w:w="3626"/>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Repositorio darv1970/Silabo-V5, quinta versión, con el periodo corregido</w:t>
            </w:r>
          </w:p>
        </w:tc>
        <w:tc>
          <w:tcPr>
            <w:tcW w:type="dxa" w:w="20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12 de octubre de 2026 · </w:t>
            </w:r>
            <w:r>
              <w:rPr>
                <w:sz w:val="19"/>
                <w:szCs w:val="19"/>
              </w:rPr>
              <w:t xml:space="preserve">último commit 7f83467, «Change course period to September 2026»</w:t>
            </w:r>
          </w:p>
        </w:tc>
      </w:tr>
      <w:tr>
        <w:trPr>
          <w:cantSplit/>
        </w:trPr>
        <w:tc>
          <w:tcPr>
            <w:tcW w:type="dxa" w:w="34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Presentación en español</w:t>
            </w:r>
          </w:p>
        </w:tc>
        <w:tc>
          <w:tcPr>
            <w:tcW w:type="dxa" w:w="3626"/>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VC-2026-044-021_ProyectoFinal_ES.pptx</w:t>
            </w:r>
          </w:p>
        </w:tc>
        <w:tc>
          <w:tcPr>
            <w:tcW w:type="dxa" w:w="20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12 de octubre de 2026</w:t>
            </w:r>
          </w:p>
        </w:tc>
      </w:tr>
      <w:tr>
        <w:trPr>
          <w:cantSplit/>
        </w:trPr>
        <w:tc>
          <w:tcPr>
            <w:tcW w:type="dxa" w:w="34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Presentación en inglés</w:t>
            </w:r>
          </w:p>
        </w:tc>
        <w:tc>
          <w:tcPr>
            <w:tcW w:type="dxa" w:w="3626"/>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VC-2026-044-021_ProyectoFinal_EN.pptx</w:t>
            </w:r>
          </w:p>
        </w:tc>
        <w:tc>
          <w:tcPr>
            <w:tcW w:type="dxa" w:w="20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12 de octubre de 2026</w:t>
            </w:r>
          </w:p>
        </w:tc>
      </w:tr>
      <w:tr>
        <w:trPr>
          <w:cantSplit/>
        </w:trPr>
        <w:tc>
          <w:tcPr>
            <w:tcW w:type="dxa" w:w="34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Narración</w:t>
            </w:r>
          </w:p>
        </w:tc>
        <w:tc>
          <w:tcPr>
            <w:tcW w:type="dxa" w:w="3626"/>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ES_01.mp3 a ES_10.mp3 y EN_01.mp3 a EN_10.mp3</w:t>
            </w:r>
          </w:p>
        </w:tc>
        <w:tc>
          <w:tcPr>
            <w:tcW w:type="dxa" w:w="20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12 de octubre de 2026</w:t>
            </w:r>
          </w:p>
        </w:tc>
      </w:tr>
      <w:tr>
        <w:trPr>
          <w:cantSplit/>
        </w:trPr>
        <w:tc>
          <w:tcPr>
            <w:tcW w:type="dxa" w:w="34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Videos</w:t>
            </w:r>
          </w:p>
        </w:tc>
        <w:tc>
          <w:tcPr>
            <w:tcW w:type="dxa" w:w="3626"/>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VC-2026-044-021_ProyectoFinal_ES.mp4 y _EN.mp4</w:t>
            </w:r>
          </w:p>
        </w:tc>
        <w:tc>
          <w:tcPr>
            <w:tcW w:type="dxa" w:w="20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sz w:val="19"/>
                <w:szCs w:val="19"/>
              </w:rPr>
              <w:t xml:space="preserve">ES 3:58.8 y EN 4:29.5 · 12 de octubre de 2026</w:t>
            </w:r>
          </w:p>
        </w:tc>
      </w:tr>
      <w:tr>
        <w:trPr>
          <w:cantSplit/>
        </w:trPr>
        <w:tc>
          <w:tcPr>
            <w:tcW w:type="dxa" w:w="34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Evidencia</w:t>
            </w:r>
          </w:p>
        </w:tc>
        <w:tc>
          <w:tcPr>
            <w:tcW w:type="dxa" w:w="3626"/>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Capturas de portada, artículos de consulta y tareas por semana</w:t>
            </w:r>
          </w:p>
        </w:tc>
        <w:tc>
          <w:tcPr>
            <w:tcW w:type="dxa" w:w="2000"/>
            <w:tcBorders>
              <w:top w:val="single" w:color="C9CCD6" w:sz="4"/>
              <w:left w:val="single" w:color="C9CCD6" w:sz="4"/>
              <w:bottom w:val="single" w:color="C9CCD6" w:sz="4"/>
              <w:right w:val="single" w:color="C9CCD6" w:sz="4"/>
            </w:tcBorders>
            <w:tcMar>
              <w:top w:type="dxa" w:w="60"/>
              <w:left w:type="dxa" w:w="90"/>
              <w:bottom w:type="dxa" w:w="60"/>
              <w:right w:type="dxa" w:w="90"/>
            </w:tcMar>
          </w:tcPr>
          <w:p>
            <w:r>
              <w:rPr>
                <w:b w:val="false"/>
                <w:bCs w:val="false"/>
                <w:sz w:val="19"/>
                <w:szCs w:val="19"/>
              </w:rPr>
              <w:t xml:space="preserve">12 de octubre de 2026</w:t>
            </w:r>
          </w:p>
        </w:tc>
      </w:tr>
    </w:tbl>
    <w:p>
      <w:pPr>
        <w:spacing w:after="120"/>
      </w:pPr>
      <w:r>
        <w:t xml:space="preserve"/>
      </w:r>
    </w:p>
    <w:p>
      <w:pPr>
        <w:spacing w:after="120"/>
      </w:pPr>
      <w:r>
        <w:t xml:space="preserve">Los nombres de archivo con «ProyectoFinal» son los que exige el curso; la versión se identifica por la fecha y, en el sitio, por el historial del repositorio.</w:t>
      </w:r>
    </w:p>
    <w:p>
      <w:pPr>
        <w:pStyle w:val="Heading1"/>
      </w:pPr>
      <w:r>
        <w:t xml:space="preserve">5. Alcance y declaración de uso de IA</w:t>
      </w:r>
    </w:p>
    <w:p>
      <w:pPr>
        <w:spacing w:after="120"/>
      </w:pPr>
      <w:r>
        <w:rPr>
          <w:b/>
          <w:bCs/>
        </w:rPr>
        <w:t xml:space="preserve">Qué se puede concluir. </w:t>
      </w:r>
      <w:r>
        <w:t xml:space="preserve">El contenido y las fechas del sitio coinciden con el sílabo aprobado según la revisión de los autores; el sitio funciona en los cuatro teléfonos probados; y los tres colegas consultados lo consideraron fácil de navegar.</w:t>
      </w:r>
    </w:p>
    <w:p>
      <w:pPr>
        <w:spacing w:after="120"/>
      </w:pPr>
      <w:r>
        <w:rPr>
          <w:b/>
          <w:bCs/>
        </w:rPr>
        <w:t xml:space="preserve">Qué no se puede concluir. </w:t>
      </w:r>
      <w:r>
        <w:t xml:space="preserve">Todavía no se ha probado con estudiantes. Por eso no se afirma que mejore la comprensión de la relación entre lecturas y semanas, ni que reduzca consultas o mejore resultados de aprendizaje: son hipótesis para la siguiente etapa. Las opiniones de tres colegas no son una evaluación formal de usabilidad. No se promete validez, publicación ni reproducibilidad más allá de lo descrito.</w:t>
      </w:r>
    </w:p>
    <w:p>
      <w:pPr>
        <w:spacing w:after="120"/>
      </w:pPr>
      <w:r>
        <w:rPr>
          <w:b/>
          <w:bCs/>
        </w:rPr>
        <w:t xml:space="preserve">Declaración de uso de IA. </w:t>
      </w:r>
      <w:r>
        <w:t xml:space="preserve">El sitio se generó con Claude a partir del sílabo aprobado y fue revisado por los autores en cinco versiones. Los resúmenes escritos y los audios de los artículos, así como el video de resumen de la materia, se generaron con NotebookLM a partir de los dos artículos y el sílabo aprobado, y fueron revisados por ambos autores antes de publicarse. Los guiones, las presentaciones y el borrador de esta nota se elaboraron con Claude; la narración de los videos se generó con voz de IA en ElevenLabs y fue revisada por los autores; los videos se produjeron con Claude Code. Los autores son responsables de todo el contenido publicado.</w:t>
      </w:r>
    </w:p>
    <w:p>
      <w:pPr>
        <w:pStyle w:val="Heading1"/>
      </w:pPr>
      <w:r>
        <w:t xml:space="preserve">6. Plan de mantenimiento</w:t>
      </w:r>
    </w:p>
    <w:p>
      <w:pPr>
        <w:spacing w:after="120"/>
      </w:pPr>
      <w:r>
        <w:rPr>
          <w:b/>
          <w:bCs/>
        </w:rPr>
        <w:t xml:space="preserve">Rol responsable: </w:t>
      </w:r>
      <w:r>
        <w:t xml:space="preserve">docente responsable de la asignatura en el periodo en curso. </w:t>
      </w:r>
      <w:r>
        <w:t xml:space="preserve">Acepta el rol Daniel Rodríguez Villalba.</w:t>
      </w:r>
    </w:p>
    <w:p>
      <w:pPr>
        <w:spacing w:after="120"/>
      </w:pPr>
      <w:r>
        <w:rPr>
          <w:b/>
          <w:bCs/>
        </w:rPr>
        <w:t xml:space="preserve">Cambios que activan una revisión del sitio:</w:t>
      </w:r>
    </w:p>
    <w:p>
      <w:pPr>
        <w:pStyle w:val="ListParagraph"/>
        <w:numPr>
          <w:ilvl w:val="0"/>
          <w:numId w:val="2"/>
        </w:numPr>
        <w:spacing w:after="80"/>
      </w:pPr>
      <w:r>
        <w:t xml:space="preserve">cualquier cambio en el sílabo aprobado: fechas, contenidos, evaluación, ponderaciones o bibliografía;</w:t>
      </w:r>
    </w:p>
    <w:p>
      <w:pPr>
        <w:pStyle w:val="ListParagraph"/>
        <w:numPr>
          <w:ilvl w:val="0"/>
          <w:numId w:val="2"/>
        </w:numPr>
        <w:spacing w:after="80"/>
      </w:pPr>
      <w:r>
        <w:t xml:space="preserve">un nuevo periodo académico o un cambio de sede o de docentes;</w:t>
      </w:r>
    </w:p>
    <w:p>
      <w:pPr>
        <w:pStyle w:val="ListParagraph"/>
        <w:numPr>
          <w:ilvl w:val="0"/>
          <w:numId w:val="2"/>
        </w:numPr>
        <w:spacing w:after="80"/>
      </w:pPr>
      <w:r>
        <w:t xml:space="preserve">un enlace roto o un recurso que deja de ser de acceso abierto;</w:t>
      </w:r>
    </w:p>
    <w:p>
      <w:pPr>
        <w:pStyle w:val="ListParagraph"/>
        <w:numPr>
          <w:ilvl w:val="0"/>
          <w:numId w:val="2"/>
        </w:numPr>
        <w:spacing w:after="80"/>
      </w:pPr>
      <w:r>
        <w:t xml:space="preserve">cambios en el Aula Virtual que afecten dónde se entregan tareas o se publican plazos;</w:t>
      </w:r>
    </w:p>
    <w:p>
      <w:pPr>
        <w:pStyle w:val="ListParagraph"/>
        <w:numPr>
          <w:ilvl w:val="0"/>
          <w:numId w:val="2"/>
        </w:numPr>
        <w:spacing w:after="80"/>
      </w:pPr>
      <w:r>
        <w:t xml:space="preserve">un error reportado por estudiantes o colegas.</w:t>
      </w:r>
    </w:p>
    <w:p>
      <w:pPr>
        <w:spacing w:after="120"/>
      </w:pPr>
      <w:r>
        <w:rPr>
          <w:b/>
          <w:bCs/>
        </w:rPr>
        <w:t xml:space="preserve">Qué hacer si falla:</w:t>
      </w:r>
    </w:p>
    <w:p>
      <w:pPr>
        <w:pStyle w:val="ListParagraph"/>
        <w:numPr>
          <w:ilvl w:val="0"/>
          <w:numId w:val="2"/>
        </w:numPr>
        <w:spacing w:after="80"/>
      </w:pPr>
      <w:r>
        <w:rPr>
          <w:b/>
          <w:bCs/>
        </w:rPr>
        <w:t xml:space="preserve">Detener </w:t>
      </w:r>
      <w:r>
        <w:t xml:space="preserve">el uso del resultado afectado: avisar en el Aula Virtual que, para ese punto, rige el sílabo oficial.</w:t>
      </w:r>
    </w:p>
    <w:p>
      <w:pPr>
        <w:pStyle w:val="ListParagraph"/>
        <w:numPr>
          <w:ilvl w:val="0"/>
          <w:numId w:val="2"/>
        </w:numPr>
        <w:spacing w:after="80"/>
      </w:pPr>
      <w:r>
        <w:rPr>
          <w:b/>
          <w:bCs/>
        </w:rPr>
        <w:t xml:space="preserve">Conservar </w:t>
      </w:r>
      <w:r>
        <w:t xml:space="preserve">la evidencia: captura de la pantalla con el error y versión del repositorio en que ocurrió.</w:t>
      </w:r>
    </w:p>
    <w:p>
      <w:pPr>
        <w:pStyle w:val="ListParagraph"/>
        <w:numPr>
          <w:ilvl w:val="0"/>
          <w:numId w:val="2"/>
        </w:numPr>
        <w:spacing w:after="80"/>
      </w:pPr>
      <w:r>
        <w:rPr>
          <w:b/>
          <w:bCs/>
        </w:rPr>
        <w:t xml:space="preserve">Revisar </w:t>
      </w:r>
      <w:r>
        <w:t xml:space="preserve">contra el sílabo aprobado, corregir y verificar en al menos un teléfono.</w:t>
      </w:r>
    </w:p>
    <w:p>
      <w:pPr>
        <w:pStyle w:val="ListParagraph"/>
        <w:numPr>
          <w:ilvl w:val="0"/>
          <w:numId w:val="2"/>
        </w:numPr>
        <w:spacing w:after="80"/>
      </w:pPr>
      <w:r>
        <w:rPr>
          <w:b/>
          <w:bCs/>
        </w:rPr>
        <w:t xml:space="preserve">Decidir </w:t>
      </w:r>
      <w:r>
        <w:t xml:space="preserve">si se vuelve a publicar y registrar el cambio en el historial del repositorio.</w:t>
      </w:r>
    </w:p>
    <w:p>
      <w:pPr>
        <w:spacing w:after="120"/>
      </w:pPr>
      <w:r>
        <w:t xml:space="preserve">La prueba prevista con estudiantes del próximo periodo, con el sitio enlazado desde Moodle, servirá también como primera revisión de este plan.</w:t>
      </w:r>
    </w:p>
    <w:sectPr>
      <w:footerReference w:type="default" r:id="rId7"/>
      <w:pgSz w:w="11906" w:h="16838"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6"/>
        <w:szCs w:val="16"/>
      </w:rPr>
      <w:t xml:space="preserve">Vibe Coding CEDIA 2026 · Universidad UTE · UTPL · página </w:t>
    </w:r>
    <w:r>
      <w:rPr>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Georgia" w:cs="Georgia" w:eastAsia="Georgia" w:hAnsi="Georgia"/>
      <w:b/>
      <w:bCs/>
      <w:color w:val="0B1020"/>
      <w:sz w:val="28"/>
      <w:szCs w:val="28"/>
    </w:rPr>
  </w:style>
  <w:style w:type="paragraph" w:styleId="Title">
    <w:name w:val="Title"/>
    <w:basedOn w:val="Normal"/>
    <w:pPr>
      <w:spacing w:after="80"/>
    </w:pPr>
    <w:rPr>
      <w:rFonts w:ascii="Georgia" w:cs="Georgia" w:eastAsia="Georgia" w:hAnsi="Georgia"/>
      <w:b/>
      <w:bCs/>
      <w:color w:val="0B1020"/>
      <w:sz w:val="40"/>
      <w:szCs w:val="4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metodológica · Sílabo interactivo</dc:title>
  <dc:creator>Daniel Rodríguez Villalba y Juan Pablo Arrobo</dc:creator>
  <cp:lastModifiedBy>Un-named</cp:lastModifiedBy>
  <cp:revision>1</cp:revision>
  <dcterms:created xsi:type="dcterms:W3CDTF">2026-10-12T14:59:13.560Z</dcterms:created>
  <dcterms:modified xsi:type="dcterms:W3CDTF">2026-10-12T14:59:13.560Z</dcterms:modified>
</cp:coreProperties>
</file>

<file path=docProps/custom.xml><?xml version="1.0" encoding="utf-8"?>
<Properties xmlns="http://schemas.openxmlformats.org/officeDocument/2006/custom-properties" xmlns:vt="http://schemas.openxmlformats.org/officeDocument/2006/docPropsVTypes"/>
</file>